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right="0" w:rightChars="0" w:firstLine="0" w:firstLineChars="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附件1：</w:t>
      </w:r>
    </w:p>
    <w:p>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201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lang w:val="zh-CN"/>
        </w:rPr>
        <w:t>年度西安市社会科学规划基金课题指南</w:t>
      </w:r>
      <w:r>
        <w:rPr>
          <w:rFonts w:hint="eastAsia" w:ascii="仿宋_GB2312" w:hAnsi="仿宋_GB2312" w:eastAsia="仿宋_GB2312" w:cs="仿宋_GB2312"/>
          <w:sz w:val="32"/>
          <w:szCs w:val="32"/>
          <w:lang w:val="zh-C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val="zh-CN" w:eastAsia="zh-CN"/>
        </w:rPr>
        <w:t>丝绸之路经济带建设专题</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“一带一路”视阈下大西安国际化大都市建设研究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“一带一路”背景下西安提升科技创新、文化创新、产业创新能力研究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“一带一路”背景下西安民营银行发展战略研究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Cs/>
          <w:sz w:val="30"/>
          <w:szCs w:val="30"/>
        </w:rPr>
        <w:t>大西安丝绸之路博物馆建设研究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“一带一路”沿线国家</w:t>
      </w:r>
      <w:r>
        <w:rPr>
          <w:rFonts w:hint="eastAsia" w:ascii="仿宋_GB2312" w:hAnsi="仿宋_GB2312" w:eastAsia="仿宋_GB2312" w:cs="仿宋_GB2312"/>
          <w:color w:val="000000"/>
          <w:sz w:val="30"/>
          <w:szCs w:val="30"/>
          <w:shd w:val="clear" w:color="auto" w:fill="FFFFFF"/>
          <w:lang w:val="en-US" w:eastAsia="zh-CN"/>
        </w:rPr>
        <w:t>与西安</w:t>
      </w:r>
      <w:r>
        <w:rPr>
          <w:rFonts w:hint="eastAsia" w:ascii="仿宋_GB2312" w:hAnsi="仿宋_GB2312" w:eastAsia="仿宋_GB2312" w:cs="仿宋_GB2312"/>
          <w:color w:val="000000"/>
          <w:sz w:val="30"/>
          <w:szCs w:val="30"/>
          <w:shd w:val="clear" w:color="auto" w:fill="FFFFFF"/>
        </w:rPr>
        <w:t>经济增长</w:t>
      </w:r>
      <w:r>
        <w:rPr>
          <w:rFonts w:hint="eastAsia" w:ascii="仿宋_GB2312" w:hAnsi="仿宋_GB2312" w:eastAsia="仿宋_GB2312" w:cs="仿宋_GB2312"/>
          <w:color w:val="000000"/>
          <w:sz w:val="30"/>
          <w:szCs w:val="30"/>
          <w:shd w:val="clear" w:color="auto" w:fill="FFFFFF"/>
          <w:lang w:val="en-US" w:eastAsia="zh-CN"/>
        </w:rPr>
        <w:t>关联度</w:t>
      </w:r>
      <w:r>
        <w:rPr>
          <w:rFonts w:hint="eastAsia" w:ascii="仿宋_GB2312" w:hAnsi="仿宋_GB2312" w:eastAsia="仿宋_GB2312" w:cs="仿宋_GB2312"/>
          <w:color w:val="000000"/>
          <w:sz w:val="30"/>
          <w:szCs w:val="30"/>
          <w:shd w:val="clear" w:color="auto" w:fill="FFFFFF"/>
        </w:rPr>
        <w:t>的研究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“一带一路”建设</w:t>
      </w:r>
      <w:r>
        <w:rPr>
          <w:rFonts w:hint="eastAsia" w:ascii="仿宋_GB2312" w:hAnsi="仿宋_GB2312" w:eastAsia="仿宋_GB2312" w:cs="仿宋_GB2312"/>
          <w:sz w:val="30"/>
          <w:szCs w:val="30"/>
          <w:lang w:val="en-US" w:eastAsia="zh-CN"/>
        </w:rPr>
        <w:t>与</w:t>
      </w:r>
      <w:r>
        <w:rPr>
          <w:rFonts w:hint="eastAsia" w:ascii="仿宋_GB2312" w:hAnsi="仿宋_GB2312" w:eastAsia="仿宋_GB2312" w:cs="仿宋_GB2312"/>
          <w:sz w:val="30"/>
          <w:szCs w:val="30"/>
        </w:rPr>
        <w:t>西商</w:t>
      </w:r>
      <w:r>
        <w:rPr>
          <w:rFonts w:hint="eastAsia" w:ascii="仿宋_GB2312" w:hAnsi="仿宋_GB2312" w:eastAsia="仿宋_GB2312" w:cs="仿宋_GB2312"/>
          <w:sz w:val="30"/>
          <w:szCs w:val="30"/>
          <w:lang w:val="en-US" w:eastAsia="zh-CN"/>
        </w:rPr>
        <w:t>发展研究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“一带一路”视域下国与国价值比较因素研究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“一带一路”背景下西商精神的新时代意义研究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一带一路</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沿线社科智库合作机制研究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大西安在“一带一路”建设中的新地位和新作用研究</w:t>
      </w: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西安市建设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一带一路</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交流平台研究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lang w:val="zh-CN"/>
        </w:rPr>
        <w:t>经济学、管理学</w:t>
      </w:r>
    </w:p>
    <w:p>
      <w:pPr>
        <w:keepNext w:val="0"/>
        <w:keepLines w:val="0"/>
        <w:pageBreakBefore w:val="0"/>
        <w:numPr>
          <w:ilvl w:val="0"/>
          <w:numId w:val="2"/>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习近平新时代中国特色社会主义经济思想研究</w:t>
      </w:r>
    </w:p>
    <w:p>
      <w:pPr>
        <w:keepNext w:val="0"/>
        <w:keepLines w:val="0"/>
        <w:pageBreakBefore w:val="0"/>
        <w:numPr>
          <w:ilvl w:val="0"/>
          <w:numId w:val="2"/>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西安构建城市国际化指标体系和国际营商环境研究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大西安建设背景下城郊居民清洁能源使用激励机制研究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西安市共享单车承载能力测度方法及管治措施研究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西安市</w:t>
      </w:r>
      <w:r>
        <w:rPr>
          <w:rFonts w:hint="eastAsia" w:ascii="仿宋_GB2312" w:hAnsi="仿宋_GB2312" w:eastAsia="仿宋_GB2312" w:cs="仿宋_GB2312"/>
          <w:sz w:val="30"/>
          <w:szCs w:val="30"/>
          <w:lang w:eastAsia="zh-CN"/>
        </w:rPr>
        <w:t>创新驱动发展战略</w:t>
      </w:r>
      <w:r>
        <w:rPr>
          <w:rFonts w:hint="eastAsia" w:ascii="仿宋_GB2312" w:hAnsi="仿宋_GB2312" w:eastAsia="仿宋_GB2312" w:cs="仿宋_GB2312"/>
          <w:sz w:val="30"/>
          <w:szCs w:val="30"/>
        </w:rPr>
        <w:t>及其激励政策研究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西安市新能源汽车创新战略与支持政策研究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政府公共服务质量与居民感知一致性评价问题研究</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大西安建设、人口流动与城市治理体系研究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西安市农村集体资产股份权能改革研究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西安市科技产业发展研究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西安提升金融国际化程度研究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互联网金融背景下西安市普惠金融发展水平及其减贫效应研究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西安市金融支持精准脱贫的可持续性研究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精准扶贫产业项目绩效评估研究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西安</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区县域经济短板问题研究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民营经济补短板问题研究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政府效能建设若干问题研究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西安完善基础设施国际化功能研究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全面创新改革试点高校科技成果转化路径研究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大数据产业促进西安经济增长新动能的机制与路径研究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西安市民间商会治理与民营企业发展</w:t>
      </w:r>
      <w:r>
        <w:rPr>
          <w:rFonts w:hint="eastAsia" w:ascii="仿宋_GB2312" w:hAnsi="仿宋_GB2312" w:eastAsia="仿宋_GB2312" w:cs="仿宋_GB2312"/>
          <w:sz w:val="30"/>
          <w:szCs w:val="30"/>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激发和保护企业家精神的理论与政策研究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西安市教育科技型特色小镇发展路径研究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追赶超越背景下西安市科技人才培养研究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“二孩政策”背景下西安市市民的心理压力研究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default" w:ascii="仿宋_GB2312" w:hAnsi="仿宋_GB2312" w:eastAsia="仿宋_GB2312" w:cs="仿宋_GB2312"/>
          <w:sz w:val="30"/>
          <w:szCs w:val="30"/>
          <w:lang w:val="en-US" w:eastAsia="zh-CN"/>
        </w:rPr>
        <w:t>推动互联网、大数据、人工智能和实体经济深度融合</w:t>
      </w:r>
      <w:r>
        <w:rPr>
          <w:rFonts w:hint="eastAsia" w:ascii="仿宋_GB2312" w:hAnsi="仿宋_GB2312" w:eastAsia="仿宋_GB2312" w:cs="仿宋_GB2312"/>
          <w:sz w:val="30"/>
          <w:szCs w:val="30"/>
          <w:lang w:val="en-US" w:eastAsia="zh-CN"/>
        </w:rPr>
        <w:t>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自由贸易试验区更大改革自主权赋权问题研究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中国（西安）内陆型自由贸易港目标战略与建设路径研究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西咸一体化发展研究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新时代下高新区新兴产业科技创新发展研究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落实“五新”发展战略问题研究</w:t>
      </w:r>
    </w:p>
    <w:p>
      <w:pPr>
        <w:pStyle w:val="4"/>
        <w:keepNext w:val="0"/>
        <w:keepLines w:val="0"/>
        <w:pageBreakBefore w:val="0"/>
        <w:numPr>
          <w:ilvl w:val="0"/>
          <w:numId w:val="2"/>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打造硬科技之都指标体系研究</w:t>
      </w:r>
    </w:p>
    <w:p>
      <w:pPr>
        <w:pStyle w:val="4"/>
        <w:keepNext w:val="0"/>
        <w:keepLines w:val="0"/>
        <w:pageBreakBefore w:val="0"/>
        <w:numPr>
          <w:ilvl w:val="0"/>
          <w:numId w:val="2"/>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加快产业转型升级，提高西安发展质量研究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国际化大都市建设背景</w:t>
      </w:r>
      <w:r>
        <w:rPr>
          <w:rFonts w:hint="eastAsia" w:ascii="仿宋_GB2312" w:hAnsi="仿宋_GB2312" w:eastAsia="仿宋_GB2312" w:cs="仿宋_GB2312"/>
          <w:sz w:val="30"/>
          <w:szCs w:val="30"/>
          <w:lang w:val="en-US" w:eastAsia="zh-CN"/>
        </w:rPr>
        <w:t>下</w:t>
      </w:r>
      <w:r>
        <w:rPr>
          <w:rFonts w:hint="default" w:ascii="仿宋_GB2312" w:hAnsi="仿宋_GB2312" w:eastAsia="仿宋_GB2312" w:cs="仿宋_GB2312"/>
          <w:sz w:val="30"/>
          <w:szCs w:val="30"/>
          <w:lang w:val="en-US" w:eastAsia="zh-CN"/>
        </w:rPr>
        <w:t>产城融合发展</w:t>
      </w:r>
      <w:r>
        <w:rPr>
          <w:rFonts w:hint="eastAsia" w:ascii="仿宋_GB2312" w:hAnsi="仿宋_GB2312" w:eastAsia="仿宋_GB2312" w:cs="仿宋_GB2312"/>
          <w:sz w:val="30"/>
          <w:szCs w:val="30"/>
          <w:lang w:val="en-US" w:eastAsia="zh-CN"/>
        </w:rPr>
        <w:t>问题研究</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西安市城墙内区域的发展问题研究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lang w:val="zh-CN"/>
        </w:rPr>
        <w:t>、文学、历史、哲学</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西安国际化大都市形象构建过程中多语种语言景观的建设与规范研究</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当代西安文学艺术的文化传承与创新研究</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历代著名文人西安行迹问题研究</w:t>
      </w:r>
    </w:p>
    <w:p>
      <w:pPr>
        <w:keepNext w:val="0"/>
        <w:keepLines w:val="0"/>
        <w:pageBreakBefore w:val="0"/>
        <w:numPr>
          <w:ilvl w:val="0"/>
          <w:numId w:val="3"/>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社会主义核心价值观融入社会发展问题研究</w:t>
      </w:r>
    </w:p>
    <w:p>
      <w:pPr>
        <w:keepNext w:val="0"/>
        <w:keepLines w:val="0"/>
        <w:pageBreakBefore w:val="0"/>
        <w:numPr>
          <w:ilvl w:val="0"/>
          <w:numId w:val="3"/>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明清以来西商“炉客”在西南地区经商活动研究</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大秦岭申请世界文化遗产文化资源调查研究</w:t>
      </w:r>
    </w:p>
    <w:p>
      <w:pPr>
        <w:keepNext w:val="0"/>
        <w:keepLines w:val="0"/>
        <w:pageBreakBefore w:val="0"/>
        <w:numPr>
          <w:ilvl w:val="0"/>
          <w:numId w:val="3"/>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“中国英语”与中国软实力传播关系研究</w:t>
      </w:r>
    </w:p>
    <w:p>
      <w:pPr>
        <w:keepNext w:val="0"/>
        <w:keepLines w:val="0"/>
        <w:pageBreakBefore w:val="0"/>
        <w:numPr>
          <w:ilvl w:val="0"/>
          <w:numId w:val="3"/>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红色革命传统与文化旅游项目翻译研究</w:t>
      </w:r>
    </w:p>
    <w:p>
      <w:pPr>
        <w:keepNext w:val="0"/>
        <w:keepLines w:val="0"/>
        <w:pageBreakBefore w:val="0"/>
        <w:numPr>
          <w:ilvl w:val="0"/>
          <w:numId w:val="0"/>
        </w:numPr>
        <w:kinsoku/>
        <w:wordWrap/>
        <w:overflowPunct/>
        <w:topLinePunct w:val="0"/>
        <w:autoSpaceDE/>
        <w:autoSpaceDN/>
        <w:bidi w:val="0"/>
        <w:spacing w:line="560" w:lineRule="exact"/>
        <w:ind w:right="0" w:rightChars="0"/>
        <w:jc w:val="both"/>
        <w:textAlignment w:val="auto"/>
        <w:outlineLvl w:val="9"/>
        <w:rPr>
          <w:rFonts w:hint="eastAsia"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zh-CN"/>
        </w:rPr>
        <w:t>四、政治学、党建、法学</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习近平新时代中国特色社会主义思想研究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习近平对陕西发展定位“追赶超越”思想研究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梁家河知青岁月与习近平新时代中国特色社会主义思想形成研究</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乡村振兴战略下的特色小镇建设模式及发展路径研究</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新时代全面从严治党背景下基层腐败治理研究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环境执法存在的问题及对策研究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西安市</w:t>
      </w:r>
      <w:r>
        <w:rPr>
          <w:rFonts w:hint="eastAsia" w:ascii="仿宋_GB2312" w:hAnsi="仿宋_GB2312" w:eastAsia="仿宋_GB2312" w:cs="仿宋_GB2312"/>
          <w:sz w:val="30"/>
          <w:szCs w:val="30"/>
          <w:lang w:val="en-US" w:eastAsia="zh-CN"/>
        </w:rPr>
        <w:t>环境治理</w:t>
      </w:r>
      <w:r>
        <w:rPr>
          <w:rFonts w:hint="eastAsia" w:ascii="仿宋_GB2312" w:hAnsi="仿宋_GB2312" w:eastAsia="仿宋_GB2312" w:cs="仿宋_GB2312"/>
          <w:sz w:val="30"/>
          <w:szCs w:val="30"/>
        </w:rPr>
        <w:t>对策研究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新时代西安市社区基层党组织功能重构及实现路径</w:t>
      </w:r>
      <w:r>
        <w:rPr>
          <w:rFonts w:hint="eastAsia" w:ascii="仿宋_GB2312" w:hAnsi="仿宋_GB2312" w:eastAsia="仿宋_GB2312" w:cs="仿宋_GB2312"/>
          <w:sz w:val="30"/>
          <w:szCs w:val="30"/>
          <w:lang w:val="en-US" w:eastAsia="zh-CN"/>
        </w:rPr>
        <w:t>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eastAsia="zh-CN"/>
        </w:rPr>
        <w:t>领导干部家风建设研究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大数据视野下的法治政府建设研究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sz w:val="30"/>
          <w:szCs w:val="30"/>
          <w:lang w:val="en-US" w:eastAsia="zh-CN"/>
        </w:rPr>
        <w:t>新媒体传播对社会关系的冲击及其平衡机制研究</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kern w:val="2"/>
          <w:sz w:val="30"/>
          <w:szCs w:val="30"/>
          <w:lang w:val="en-US" w:eastAsia="zh-CN" w:bidi="ar-SA"/>
        </w:rPr>
      </w:pPr>
      <w:r>
        <w:rPr>
          <w:rFonts w:hint="default" w:ascii="仿宋_GB2312" w:hAnsi="仿宋_GB2312" w:eastAsia="仿宋_GB2312" w:cs="仿宋_GB2312"/>
          <w:b w:val="0"/>
          <w:bCs w:val="0"/>
          <w:kern w:val="2"/>
          <w:sz w:val="30"/>
          <w:szCs w:val="30"/>
          <w:lang w:val="en-US" w:eastAsia="zh-CN" w:bidi="ar-SA"/>
        </w:rPr>
        <w:t>加强中国特色新型智库建设</w:t>
      </w:r>
      <w:r>
        <w:rPr>
          <w:rFonts w:hint="eastAsia" w:ascii="仿宋_GB2312" w:hAnsi="仿宋_GB2312" w:eastAsia="仿宋_GB2312" w:cs="仿宋_GB2312"/>
          <w:b w:val="0"/>
          <w:bCs w:val="0"/>
          <w:kern w:val="2"/>
          <w:sz w:val="30"/>
          <w:szCs w:val="30"/>
          <w:lang w:val="en-US" w:eastAsia="zh-CN" w:bidi="ar-SA"/>
        </w:rPr>
        <w:t>研究</w:t>
      </w:r>
    </w:p>
    <w:p>
      <w:pPr>
        <w:keepNext w:val="0"/>
        <w:keepLines w:val="0"/>
        <w:pageBreakBefore w:val="0"/>
        <w:numPr>
          <w:ilvl w:val="0"/>
          <w:numId w:val="0"/>
        </w:numPr>
        <w:kinsoku/>
        <w:wordWrap/>
        <w:overflowPunct/>
        <w:topLinePunct w:val="0"/>
        <w:autoSpaceDE/>
        <w:autoSpaceDN/>
        <w:bidi w:val="0"/>
        <w:spacing w:line="560" w:lineRule="exact"/>
        <w:ind w:right="0" w:rightChars="0"/>
        <w:jc w:val="both"/>
        <w:textAlignment w:val="auto"/>
        <w:outlineLvl w:val="9"/>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zh-CN" w:eastAsia="zh-CN"/>
        </w:rPr>
        <w:t>五、社会学</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西安吸引高端人才研究</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西安提升城市美誉度和国际影响力研究</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西安在推进国际化进程中市民生活幸福感研究</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中亚地区的文明认同及其对丝路建设的影响研究</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丝路沿线国家的文明认同及其冲突问题研究</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老年慢性病与体育健康“干预”问题研究</w:t>
      </w:r>
    </w:p>
    <w:p>
      <w:pPr>
        <w:keepNext w:val="0"/>
        <w:keepLines w:val="0"/>
        <w:pageBreakBefore w:val="0"/>
        <w:numPr>
          <w:ilvl w:val="0"/>
          <w:numId w:val="5"/>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西安打造“阅读之城”路径研究</w:t>
      </w:r>
    </w:p>
    <w:p>
      <w:pPr>
        <w:keepNext w:val="0"/>
        <w:keepLines w:val="0"/>
        <w:pageBreakBefore w:val="0"/>
        <w:numPr>
          <w:ilvl w:val="0"/>
          <w:numId w:val="5"/>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西安市大气环境网格化治理研究</w:t>
      </w:r>
    </w:p>
    <w:p>
      <w:pPr>
        <w:keepNext w:val="0"/>
        <w:keepLines w:val="0"/>
        <w:pageBreakBefore w:val="0"/>
        <w:numPr>
          <w:ilvl w:val="0"/>
          <w:numId w:val="5"/>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全面二孩政策背景下西安市构建公立托幼服务体系研究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lang w:val="zh-CN" w:eastAsia="zh-CN"/>
        </w:rPr>
        <w:t>、旅游、新闻传播、图书情报</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西安对标世界旅游时尚之都短板研究</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西安航空文化旅游产业发展规划研究</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西安国际化大都市形象宣传与受众接受效果研究</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西安旅游文创产品开发研究</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大西安革命建筑的保护方法研究</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color w:val="000000"/>
          <w:sz w:val="30"/>
          <w:szCs w:val="30"/>
          <w:shd w:val="clear" w:color="auto" w:fill="FFFFFF"/>
        </w:rPr>
        <w:t>政务新媒体在西安新形象建构与传播中的作用</w:t>
      </w:r>
      <w:r>
        <w:rPr>
          <w:rFonts w:hint="eastAsia" w:ascii="仿宋_GB2312" w:hAnsi="仿宋_GB2312" w:eastAsia="仿宋_GB2312" w:cs="仿宋_GB2312"/>
          <w:b w:val="0"/>
          <w:bCs w:val="0"/>
          <w:color w:val="000000"/>
          <w:sz w:val="30"/>
          <w:szCs w:val="30"/>
          <w:shd w:val="clear" w:color="auto" w:fill="FFFFFF"/>
          <w:lang w:val="en-US" w:eastAsia="zh-CN"/>
        </w:rPr>
        <w:t>研究</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西安地铁文化传播的途径选择及优化研究</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新媒体语境下西安城市形象传播话语研究</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全媒体链下西安媒体对“西商品牌”的建构研究</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新时代西安文化旅游吸引力的建设研究</w:t>
      </w:r>
    </w:p>
    <w:p>
      <w:pPr>
        <w:keepNext w:val="0"/>
        <w:keepLines w:val="0"/>
        <w:pageBreakBefore w:val="0"/>
        <w:numPr>
          <w:ilvl w:val="0"/>
          <w:numId w:val="6"/>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西安文化旅游产业新增长点和新功能培育研究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en-US" w:eastAsia="zh-CN"/>
        </w:rPr>
        <w:t>七</w:t>
      </w:r>
      <w:r>
        <w:rPr>
          <w:rFonts w:hint="eastAsia" w:ascii="仿宋_GB2312" w:hAnsi="仿宋_GB2312" w:eastAsia="仿宋_GB2312" w:cs="仿宋_GB2312"/>
          <w:b/>
          <w:bCs/>
          <w:sz w:val="30"/>
          <w:szCs w:val="30"/>
          <w:lang w:val="zh-CN" w:eastAsia="zh-CN"/>
        </w:rPr>
        <w:t>、文化事业、文化产业</w:t>
      </w:r>
    </w:p>
    <w:p>
      <w:pPr>
        <w:keepNext w:val="0"/>
        <w:keepLines w:val="0"/>
        <w:pageBreakBefore w:val="0"/>
        <w:numPr>
          <w:ilvl w:val="0"/>
          <w:numId w:val="7"/>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西安挖掘传统文化与实施“文化+”战略研究</w:t>
      </w:r>
    </w:p>
    <w:p>
      <w:pPr>
        <w:keepNext w:val="0"/>
        <w:keepLines w:val="0"/>
        <w:pageBreakBefore w:val="0"/>
        <w:numPr>
          <w:ilvl w:val="0"/>
          <w:numId w:val="7"/>
        </w:numPr>
        <w:kinsoku/>
        <w:wordWrap/>
        <w:overflowPunct/>
        <w:topLinePunct w:val="0"/>
        <w:autoSpaceDE/>
        <w:autoSpaceDN/>
        <w:bidi w:val="0"/>
        <w:adjustRightInd w:val="0"/>
        <w:snapToGrid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关中地区民间美术类非遗项目的品牌构建研究</w:t>
      </w:r>
    </w:p>
    <w:p>
      <w:pPr>
        <w:keepNext w:val="0"/>
        <w:keepLines w:val="0"/>
        <w:pageBreakBefore w:val="0"/>
        <w:numPr>
          <w:ilvl w:val="0"/>
          <w:numId w:val="7"/>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新形势下大西安红色文化片区旅游发展策划研究</w:t>
      </w:r>
    </w:p>
    <w:p>
      <w:pPr>
        <w:keepNext w:val="0"/>
        <w:keepLines w:val="0"/>
        <w:pageBreakBefore w:val="0"/>
        <w:numPr>
          <w:ilvl w:val="0"/>
          <w:numId w:val="7"/>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西安城市公共会客厅建设研究</w:t>
      </w:r>
    </w:p>
    <w:p>
      <w:pPr>
        <w:keepNext w:val="0"/>
        <w:keepLines w:val="0"/>
        <w:pageBreakBefore w:val="0"/>
        <w:numPr>
          <w:ilvl w:val="0"/>
          <w:numId w:val="7"/>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“互联网+”视角下西安市文化创意产业集聚模式创新研究</w:t>
      </w:r>
    </w:p>
    <w:p>
      <w:pPr>
        <w:keepNext w:val="0"/>
        <w:keepLines w:val="0"/>
        <w:pageBreakBefore w:val="0"/>
        <w:numPr>
          <w:ilvl w:val="0"/>
          <w:numId w:val="7"/>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西安特色文化产业品牌培育研究</w:t>
      </w:r>
    </w:p>
    <w:p>
      <w:pPr>
        <w:keepNext w:val="0"/>
        <w:keepLines w:val="0"/>
        <w:pageBreakBefore w:val="0"/>
        <w:numPr>
          <w:ilvl w:val="0"/>
          <w:numId w:val="7"/>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西安市古寺庙文化资源开发策略研究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kern w:val="0"/>
          <w:sz w:val="30"/>
          <w:szCs w:val="30"/>
          <w:lang w:val="zh-CN" w:eastAsia="zh-CN" w:bidi="ar-SA"/>
        </w:rPr>
      </w:pPr>
      <w:r>
        <w:rPr>
          <w:rFonts w:hint="eastAsia" w:ascii="仿宋_GB2312" w:hAnsi="仿宋_GB2312" w:eastAsia="仿宋_GB2312" w:cs="仿宋_GB2312"/>
          <w:b/>
          <w:bCs/>
          <w:snapToGrid w:val="0"/>
          <w:kern w:val="0"/>
          <w:sz w:val="30"/>
          <w:szCs w:val="30"/>
          <w:lang w:val="en-US" w:eastAsia="zh-CN" w:bidi="ar-SA"/>
        </w:rPr>
        <w:t>八</w:t>
      </w:r>
      <w:r>
        <w:rPr>
          <w:rFonts w:hint="eastAsia" w:ascii="仿宋_GB2312" w:hAnsi="仿宋_GB2312" w:eastAsia="仿宋_GB2312" w:cs="仿宋_GB2312"/>
          <w:b/>
          <w:bCs/>
          <w:snapToGrid w:val="0"/>
          <w:kern w:val="0"/>
          <w:sz w:val="30"/>
          <w:szCs w:val="30"/>
          <w:lang w:val="zh-CN" w:eastAsia="zh-CN" w:bidi="ar-SA"/>
        </w:rPr>
        <w:t>、教育学、心理学</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供给侧结构性改革视角下高校人才培养模式研究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新工科创新人才教育与培养模式研究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关中方言对英语语音感知能力的影响研究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小学课程基础知识信息可视化设计研究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高校辅导员职业心理素质培育机制研究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新时代大学生创新思维能力培养的策略研究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西安市高校留学生教育发展的限制因素调查研究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西安市高校与基础教育合作现状研究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kern w:val="0"/>
          <w:sz w:val="30"/>
          <w:szCs w:val="30"/>
          <w:lang w:val="en-US" w:eastAsia="zh-CN" w:bidi="ar-SA"/>
        </w:rPr>
      </w:pPr>
      <w:r>
        <w:rPr>
          <w:rFonts w:hint="eastAsia" w:ascii="仿宋_GB2312" w:hAnsi="仿宋_GB2312" w:eastAsia="仿宋_GB2312" w:cs="仿宋_GB2312"/>
          <w:snapToGrid w:val="0"/>
          <w:kern w:val="0"/>
          <w:sz w:val="30"/>
          <w:szCs w:val="30"/>
          <w:lang w:val="en-US" w:eastAsia="zh-CN" w:bidi="ar-SA"/>
        </w:rPr>
        <w:t>西安民办院校英语教学中学生跨文化交际能力的培养研究</w:t>
      </w:r>
    </w:p>
    <w:p>
      <w:pPr>
        <w:keepNext w:val="0"/>
        <w:keepLines w:val="0"/>
        <w:pageBreakBefore w:val="0"/>
        <w:numPr>
          <w:ilvl w:val="0"/>
          <w:numId w:val="8"/>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napToGrid w:val="0"/>
          <w:color w:val="auto"/>
          <w:kern w:val="0"/>
          <w:sz w:val="30"/>
          <w:szCs w:val="30"/>
          <w:lang w:val="en-US" w:eastAsia="zh-CN" w:bidi="ar-SA"/>
        </w:rPr>
      </w:pPr>
      <w:r>
        <w:rPr>
          <w:rFonts w:hint="eastAsia" w:ascii="仿宋_GB2312" w:hAnsi="仿宋_GB2312" w:eastAsia="仿宋_GB2312" w:cs="仿宋_GB2312"/>
          <w:snapToGrid w:val="0"/>
          <w:color w:val="auto"/>
          <w:kern w:val="0"/>
          <w:sz w:val="30"/>
          <w:szCs w:val="30"/>
          <w:lang w:val="en-US" w:eastAsia="zh-CN" w:bidi="ar-SA"/>
        </w:rPr>
        <w:t>西安市高校教师培训联动机制研究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en-US" w:eastAsia="zh-CN"/>
        </w:rPr>
        <w:t>九</w:t>
      </w:r>
      <w:r>
        <w:rPr>
          <w:rFonts w:hint="eastAsia" w:ascii="仿宋_GB2312" w:hAnsi="仿宋_GB2312" w:eastAsia="仿宋_GB2312" w:cs="仿宋_GB2312"/>
          <w:b/>
          <w:sz w:val="30"/>
          <w:szCs w:val="30"/>
          <w:lang w:val="zh-CN"/>
        </w:rPr>
        <w:t>、体育、艺术</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跨文化背景下西安民间特色器物形态风格融合特征研究</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“大西安”战略背景下繁荣电影文化与提升电影产业的路径研究</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“2021年第十四届全运会”背景下的西安市体育旅游发展策略研究</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西安城墙文化演出空间研究</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西安城市绿化与景观提升策略研究</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 xml:space="preserve">西安优秀传统手工艺术口述史研究 </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西安回坊历史街区保护及提升方案研究</w:t>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2017年</w:t>
      </w:r>
      <w:r>
        <w:rPr>
          <w:rFonts w:hint="eastAsia" w:ascii="仿宋_GB2312" w:hAnsi="仿宋_GB2312" w:eastAsia="仿宋_GB2312" w:cs="仿宋_GB2312"/>
          <w:color w:val="auto"/>
          <w:sz w:val="30"/>
          <w:szCs w:val="30"/>
        </w:rPr>
        <w:t>西安</w:t>
      </w:r>
      <w:r>
        <w:rPr>
          <w:rFonts w:hint="eastAsia" w:ascii="仿宋_GB2312" w:hAnsi="仿宋_GB2312" w:eastAsia="仿宋_GB2312" w:cs="仿宋_GB2312"/>
          <w:color w:val="auto"/>
          <w:sz w:val="30"/>
          <w:szCs w:val="30"/>
          <w:lang w:val="en-US" w:eastAsia="zh-CN"/>
        </w:rPr>
        <w:t>发展变化</w:t>
      </w:r>
      <w:r>
        <w:rPr>
          <w:rFonts w:hint="eastAsia" w:ascii="仿宋_GB2312" w:hAnsi="仿宋_GB2312" w:eastAsia="仿宋_GB2312" w:cs="仿宋_GB2312"/>
          <w:color w:val="auto"/>
          <w:sz w:val="30"/>
          <w:szCs w:val="30"/>
        </w:rPr>
        <w:t>摄影影像研究</w:t>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关中皮影艺术传承现状与发展困境</w:t>
      </w:r>
      <w:r>
        <w:rPr>
          <w:rFonts w:hint="eastAsia" w:ascii="仿宋_GB2312" w:hAnsi="仿宋_GB2312" w:eastAsia="仿宋_GB2312" w:cs="仿宋_GB2312"/>
          <w:sz w:val="30"/>
          <w:szCs w:val="30"/>
          <w:lang w:val="en-US" w:eastAsia="zh-CN"/>
        </w:rPr>
        <w:t>研究</w:t>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秦腔脚色行当研究</w:t>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sz w:val="30"/>
          <w:szCs w:val="30"/>
        </w:rPr>
        <w:t xml:space="preserve">全域旅游视域下西安体育健康特色小镇发展研究  </w:t>
      </w:r>
      <w:r>
        <w:rPr>
          <w:rFonts w:hint="eastAsia" w:ascii="仿宋_GB2312" w:hAnsi="仿宋_GB2312" w:eastAsia="仿宋_GB2312" w:cs="仿宋_GB2312"/>
          <w:color w:val="000000"/>
          <w:kern w:val="0"/>
          <w:sz w:val="30"/>
          <w:szCs w:val="30"/>
          <w:lang w:val="en-US" w:eastAsia="zh-CN"/>
        </w:rPr>
        <w:tab/>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right="0" w:rightChars="0" w:firstLine="400" w:firstLineChars="0"/>
        <w:jc w:val="both"/>
        <w:textAlignment w:val="auto"/>
        <w:outlineLvl w:val="9"/>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特色体育经济化发展路径研究</w:t>
      </w:r>
      <w:r>
        <w:rPr>
          <w:rFonts w:hint="eastAsia" w:ascii="仿宋_GB2312" w:hAnsi="仿宋_GB2312" w:eastAsia="仿宋_GB2312" w:cs="仿宋_GB2312"/>
          <w:color w:val="000000"/>
          <w:kern w:val="0"/>
          <w:sz w:val="30"/>
          <w:szCs w:val="30"/>
          <w:lang w:val="en-US" w:eastAsia="zh-CN"/>
        </w:rPr>
        <w:tab/>
      </w:r>
      <w:r>
        <w:rPr>
          <w:rFonts w:hint="eastAsia" w:ascii="仿宋_GB2312" w:hAnsi="仿宋_GB2312" w:eastAsia="仿宋_GB2312" w:cs="仿宋_GB2312"/>
          <w:color w:val="000000"/>
          <w:kern w:val="0"/>
          <w:sz w:val="30"/>
          <w:szCs w:val="30"/>
          <w:lang w:val="en-US" w:eastAsia="zh-CN"/>
        </w:rPr>
        <w:tab/>
      </w:r>
      <w:r>
        <w:rPr>
          <w:rFonts w:hint="eastAsia" w:ascii="仿宋_GB2312" w:hAnsi="仿宋_GB2312" w:eastAsia="仿宋_GB2312" w:cs="仿宋_GB2312"/>
          <w:color w:val="000000"/>
          <w:kern w:val="0"/>
          <w:sz w:val="30"/>
          <w:szCs w:val="30"/>
          <w:lang w:val="en-US" w:eastAsia="zh-CN"/>
        </w:rPr>
        <w:tab/>
      </w:r>
      <w:r>
        <w:rPr>
          <w:rFonts w:hint="eastAsia" w:ascii="仿宋_GB2312" w:hAnsi="仿宋_GB2312" w:eastAsia="仿宋_GB2312" w:cs="仿宋_GB2312"/>
          <w:color w:val="000000"/>
          <w:kern w:val="0"/>
          <w:sz w:val="30"/>
          <w:szCs w:val="30"/>
          <w:lang w:val="en-US" w:eastAsia="zh-CN"/>
        </w:rPr>
        <w:tab/>
      </w:r>
    </w:p>
    <w:p>
      <w:pPr>
        <w:keepNext w:val="0"/>
        <w:keepLines w:val="0"/>
        <w:pageBreakBefore w:val="0"/>
        <w:numPr>
          <w:ilvl w:val="0"/>
          <w:numId w:val="9"/>
        </w:numPr>
        <w:kinsoku/>
        <w:wordWrap/>
        <w:overflowPunct/>
        <w:topLinePunct w:val="0"/>
        <w:autoSpaceDE/>
        <w:autoSpaceDN/>
        <w:bidi w:val="0"/>
        <w:spacing w:line="560" w:lineRule="exact"/>
        <w:ind w:left="0" w:leftChars="0" w:right="0" w:rightChars="0" w:firstLine="4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健康中国背景下西安健身资源共享问题研究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Awesome">
    <w:altName w:val="Latha"/>
    <w:panose1 w:val="00000000000000000000"/>
    <w:charset w:val="00"/>
    <w:family w:val="auto"/>
    <w:pitch w:val="default"/>
    <w:sig w:usb0="00000000" w:usb1="00000000" w:usb2="00000000" w:usb3="00000000" w:csb0="00000000" w:csb1="00000000"/>
  </w:font>
  <w:font w:name="Glyphicons Halflings">
    <w:altName w:val="Latha"/>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enlo">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Helvetica Neue">
    <w:altName w:val="Latha"/>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487A2"/>
    <w:multiLevelType w:val="singleLevel"/>
    <w:tmpl w:val="5A4487A2"/>
    <w:lvl w:ilvl="0" w:tentative="0">
      <w:start w:val="1"/>
      <w:numFmt w:val="decimal"/>
      <w:suff w:val="nothing"/>
      <w:lvlText w:val="%1．"/>
      <w:lvlJc w:val="left"/>
      <w:pPr>
        <w:ind w:left="0" w:firstLine="400"/>
      </w:pPr>
      <w:rPr>
        <w:rFonts w:hint="default"/>
      </w:rPr>
    </w:lvl>
  </w:abstractNum>
  <w:abstractNum w:abstractNumId="1">
    <w:nsid w:val="5A4488E3"/>
    <w:multiLevelType w:val="singleLevel"/>
    <w:tmpl w:val="5A4488E3"/>
    <w:lvl w:ilvl="0" w:tentative="0">
      <w:start w:val="1"/>
      <w:numFmt w:val="decimal"/>
      <w:suff w:val="nothing"/>
      <w:lvlText w:val="%1．"/>
      <w:lvlJc w:val="left"/>
      <w:pPr>
        <w:ind w:left="0" w:firstLine="400"/>
      </w:pPr>
      <w:rPr>
        <w:rFonts w:hint="default"/>
      </w:rPr>
    </w:lvl>
  </w:abstractNum>
  <w:abstractNum w:abstractNumId="2">
    <w:nsid w:val="5A448941"/>
    <w:multiLevelType w:val="singleLevel"/>
    <w:tmpl w:val="5A448941"/>
    <w:lvl w:ilvl="0" w:tentative="0">
      <w:start w:val="1"/>
      <w:numFmt w:val="decimal"/>
      <w:suff w:val="nothing"/>
      <w:lvlText w:val="%1．"/>
      <w:lvlJc w:val="left"/>
      <w:pPr>
        <w:ind w:left="0" w:firstLine="400"/>
      </w:pPr>
      <w:rPr>
        <w:rFonts w:hint="default"/>
      </w:rPr>
    </w:lvl>
  </w:abstractNum>
  <w:abstractNum w:abstractNumId="3">
    <w:nsid w:val="5A448991"/>
    <w:multiLevelType w:val="singleLevel"/>
    <w:tmpl w:val="5A448991"/>
    <w:lvl w:ilvl="0" w:tentative="0">
      <w:start w:val="1"/>
      <w:numFmt w:val="decimal"/>
      <w:suff w:val="nothing"/>
      <w:lvlText w:val="%1．"/>
      <w:lvlJc w:val="left"/>
      <w:pPr>
        <w:ind w:left="0" w:firstLine="400"/>
      </w:pPr>
      <w:rPr>
        <w:rFonts w:hint="default"/>
      </w:rPr>
    </w:lvl>
  </w:abstractNum>
  <w:abstractNum w:abstractNumId="4">
    <w:nsid w:val="5A4489B8"/>
    <w:multiLevelType w:val="singleLevel"/>
    <w:tmpl w:val="5A4489B8"/>
    <w:lvl w:ilvl="0" w:tentative="0">
      <w:start w:val="1"/>
      <w:numFmt w:val="decimal"/>
      <w:suff w:val="nothing"/>
      <w:lvlText w:val="%1．"/>
      <w:lvlJc w:val="left"/>
      <w:pPr>
        <w:ind w:left="0" w:firstLine="400"/>
      </w:pPr>
      <w:rPr>
        <w:rFonts w:hint="default"/>
      </w:rPr>
    </w:lvl>
  </w:abstractNum>
  <w:abstractNum w:abstractNumId="5">
    <w:nsid w:val="5A4489E4"/>
    <w:multiLevelType w:val="singleLevel"/>
    <w:tmpl w:val="5A4489E4"/>
    <w:lvl w:ilvl="0" w:tentative="0">
      <w:start w:val="1"/>
      <w:numFmt w:val="decimal"/>
      <w:suff w:val="nothing"/>
      <w:lvlText w:val="%1．"/>
      <w:lvlJc w:val="left"/>
      <w:pPr>
        <w:ind w:left="0" w:firstLine="400"/>
      </w:pPr>
      <w:rPr>
        <w:rFonts w:hint="default"/>
      </w:rPr>
    </w:lvl>
  </w:abstractNum>
  <w:abstractNum w:abstractNumId="6">
    <w:nsid w:val="5A448A08"/>
    <w:multiLevelType w:val="singleLevel"/>
    <w:tmpl w:val="5A448A08"/>
    <w:lvl w:ilvl="0" w:tentative="0">
      <w:start w:val="1"/>
      <w:numFmt w:val="decimal"/>
      <w:suff w:val="nothing"/>
      <w:lvlText w:val="%1．"/>
      <w:lvlJc w:val="left"/>
      <w:pPr>
        <w:ind w:left="0" w:firstLine="400"/>
      </w:pPr>
      <w:rPr>
        <w:rFonts w:hint="default"/>
      </w:rPr>
    </w:lvl>
  </w:abstractNum>
  <w:abstractNum w:abstractNumId="7">
    <w:nsid w:val="5A448A32"/>
    <w:multiLevelType w:val="singleLevel"/>
    <w:tmpl w:val="5A448A32"/>
    <w:lvl w:ilvl="0" w:tentative="0">
      <w:start w:val="1"/>
      <w:numFmt w:val="decimal"/>
      <w:suff w:val="nothing"/>
      <w:lvlText w:val="%1．"/>
      <w:lvlJc w:val="left"/>
      <w:pPr>
        <w:ind w:left="0" w:firstLine="400"/>
      </w:pPr>
      <w:rPr>
        <w:rFonts w:hint="default"/>
      </w:rPr>
    </w:lvl>
  </w:abstractNum>
  <w:abstractNum w:abstractNumId="8">
    <w:nsid w:val="5A448A60"/>
    <w:multiLevelType w:val="singleLevel"/>
    <w:tmpl w:val="5A448A6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84D16"/>
    <w:rsid w:val="3CEB1EBA"/>
    <w:rsid w:val="4E974113"/>
    <w:rsid w:val="7A4F2AEE"/>
    <w:rsid w:val="7DF2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2017-12-29T02:55:15Z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